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8FB" w:rsidRPr="009108FB" w:rsidRDefault="009108FB" w:rsidP="009108FB">
      <w:pPr>
        <w:spacing w:after="0" w:line="450" w:lineRule="atLeast"/>
        <w:textAlignment w:val="top"/>
        <w:outlineLvl w:val="0"/>
        <w:rPr>
          <w:rFonts w:ascii="Arial Narrow" w:eastAsia="Times New Roman" w:hAnsi="Arial Narrow" w:cs="Times New Roman"/>
          <w:color w:val="333333"/>
          <w:kern w:val="36"/>
          <w:sz w:val="36"/>
          <w:szCs w:val="36"/>
          <w:lang w:eastAsia="ru-RU"/>
        </w:rPr>
      </w:pPr>
      <w:bookmarkStart w:id="0" w:name="_GoBack"/>
      <w:bookmarkEnd w:id="0"/>
      <w:r w:rsidRPr="009108FB">
        <w:rPr>
          <w:rFonts w:ascii="Arial Narrow" w:eastAsia="Times New Roman" w:hAnsi="Arial Narrow" w:cs="Times New Roman"/>
          <w:b/>
          <w:bCs/>
          <w:color w:val="333333"/>
          <w:kern w:val="36"/>
          <w:sz w:val="68"/>
          <w:szCs w:val="68"/>
          <w:lang w:eastAsia="ru-RU"/>
        </w:rPr>
        <w:t>Инфраструктура поддержки малого и среднего предпринимательства</w:t>
      </w:r>
    </w:p>
    <w:p w:rsidR="009108FB" w:rsidRPr="009108FB" w:rsidRDefault="009108FB" w:rsidP="009108FB">
      <w:pPr>
        <w:spacing w:after="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>Акционерное общество "Корпорация развития Забайкальского края"</w:t>
      </w:r>
    </w:p>
    <w:p w:rsidR="009108FB" w:rsidRPr="009108FB" w:rsidRDefault="009108FB" w:rsidP="009108FB">
      <w:pPr>
        <w:spacing w:after="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>Подразделение «Региональный центр инжиниринга»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Предоставление субъектам МСП услуг для повышения технологической готовности субъектов МСП за счет разработки (проектирования) технологических и технических процессов и обеспечения решения проектных, инженерных, технологических и организационно-внедренческих задач, возникающих у субъектов малого и среднего предпринимательства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Государственная поддержка предоставляется субъектам малого и среднего предпринимательства, осуществляющим деятельность в области промышленного и сельскохозяйственного производства, на условиях </w:t>
      </w:r>
      <w:proofErr w:type="spellStart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софинансирования</w:t>
      </w:r>
      <w:proofErr w:type="spellEnd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со стороны субъекта малого и среднего предпринимательства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Кроме того, субъект МСП должен соответствовать требованиям Федерального закона от 24.07.2007г. № 209-ФЗ; зарегистрирован в соответствии с действующим законодательством Российской Федерации; не имеющим просроченной задолженности по налоговым платежам; не находящимся в стадии ликвидации, реорганизации или проведения процедур банкротства; в отношении субъекта МСП в течени</w:t>
      </w:r>
      <w:proofErr w:type="gramStart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и</w:t>
      </w:r>
      <w:proofErr w:type="gramEnd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двух лет не применялись процедуры несостоятельности (банкротства); в отношении субъекта МСП отсутствуют сведения в реестрах получателей государственной поддержки как о субъекте </w:t>
      </w:r>
      <w:proofErr w:type="spellStart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МСП</w:t>
      </w:r>
      <w:proofErr w:type="gramStart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,д</w:t>
      </w:r>
      <w:proofErr w:type="gramEnd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опустившим</w:t>
      </w:r>
      <w:proofErr w:type="spellEnd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нарушение порядка и условий оказания поддержки.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Необходимо </w:t>
      </w:r>
      <w:proofErr w:type="spellStart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софинансирование</w:t>
      </w:r>
      <w:proofErr w:type="spellEnd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со стороны субъекта МСП в размере не менее 5% и не более 95% от себестоимости предоставления услуги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Контактная информация: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Забайкальский край, </w:t>
      </w:r>
      <w:proofErr w:type="spellStart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г.Чита</w:t>
      </w:r>
      <w:proofErr w:type="spellEnd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, </w:t>
      </w:r>
      <w:proofErr w:type="spellStart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ул.Чкалова</w:t>
      </w:r>
      <w:proofErr w:type="spellEnd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, д.25, стр.1., тел. 8 (3022) 31-14-47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адрес электронной почты: zabinvest@bk.ru</w:t>
      </w:r>
    </w:p>
    <w:p w:rsidR="009108FB" w:rsidRPr="009108FB" w:rsidRDefault="009108FB" w:rsidP="009108FB">
      <w:pPr>
        <w:spacing w:after="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>Общество с ограниченной ответственностью "Гарантийный фонд Забайкальского края"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lastRenderedPageBreak/>
        <w:t>Предоставление поручительства субъектам малого предпринимательства и организациям, образующим инфраструктуру поддержки малого и среднего предпринимательства.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Поручительство предоставляется субъектам малого предпринимательства, соответствующим следующим условиям: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зарегистрированы и осуществляют деятельность на территории Забайкальского края;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осуществляющим хозяйственную деятельность на дату обращения за получением поручительства Гарантийного фонда сроком не менее 3 месяцев;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по кредитным договорам в сумме превышающей 1 (один) млн. рублей;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по договорам займа в сумме не превышающим 3 (трех) млн. рублей;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не имеющим за 3 (три) месяца, предшествующих дате обращения за получением поручительства Гарантийного фонда нарушений условий ранее заключенных кредитных договоров, договоров займа, лизинга и т.п.;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не имеющим на последнюю отчетную дату перед датой обращения за получением поручительства Гарантийного фонда просроченной задолженности по начисленным налогам, сборам и иным обязательным платежам перед бюджетами всех уровней;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в отношении которых в течение двух лет (либо меньшего срока, в зависимости от срока хозяйственной деятельности), предшествующих дате обращения за получением поручительства Гарантийного фонда, не применялись процедуры несостоятельности (банкротства), в том числе наблюдение, финансовое оздоровление, внешнее управление, конкурсное производство, либо санкции в виде аннулирования или приостановления действия лицензии (в случае, если деятельность Заемщика подлежит лицензированию);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предоставившим обеспечение кредита/займа в размере не менее 30% от суммы своих обязательств в части возврата фактически полученной суммы кредита/займа и уплаты процентов на нее.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В настоящее время Гарантийным фондом заключены соглашения с Читинским отделением № 8600 Сбербанка России, Читинским филиалом ОАО «Промсвязьбанк», Читинским отделением Азиатско-Тихоокеанского банка, ВТБ24, Связь банк, БИН банк.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lastRenderedPageBreak/>
        <w:t>Порядок предоставления Гарантийным фондом поручительств: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1. Заемщик самостоятельно обращается в Банк с заявкой на предоставление кредита.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2. Банк в соответствии с процедурой, установленной внутренними локальными актами Банка, рассматривает заявку Заемщика, анализирует представленные им документы, финансовое состояние Заемщика, определяет величину необходимого обеспечения.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3. В случае, если предоставляемого Заемщиком обеспечения и (или) третьими лицами за него недостаточно для обеспечения обязательств по запрашиваемому кредиту, Банк информирует Заемщика о возможности привлечения для обеспечения исполнения обязательств по кредитному договору в качестве поручителя Гарантийный фонд.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4. При согласии Заемщика получить поручительство Гарантийного фонда, Банк направляет в Гарантийный фонд подписанное Заемщиком заявление по форме, согласованной сторонами, необходимую информацию и документы Заемщика.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5. Гарантийный фонд после получения документов, принимает решение о предоставлении или отказе в предоставлении поручительства.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6. В случае принятия Банком решения о предоставлении кредита Заемщику под поручительство Гарантийного фонда, и положительном решении Гарантийного фонда о предоставлении поручительства Банк, Гарантийный фонд и Заемщик заключают договор поручительства.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Предоставление Гарантийным фондом поручительств является </w:t>
      </w:r>
      <w:proofErr w:type="spellStart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платнымКомиссия</w:t>
      </w:r>
      <w:proofErr w:type="spellEnd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за поручительство </w:t>
      </w:r>
      <w:proofErr w:type="spellStart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составляетот</w:t>
      </w:r>
      <w:proofErr w:type="spellEnd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1 до 3% годовых от суммы поручительства по договору.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Контактная информация: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Забайкальский край, г. Чита, ул. Бабушкина, д. 52, пом. 4., тел. 8-800-100-10-22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адрес электронной </w:t>
      </w:r>
      <w:proofErr w:type="spellStart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почты:mailbox@zabbusiness.ru</w:t>
      </w:r>
      <w:proofErr w:type="spellEnd"/>
    </w:p>
    <w:p w:rsidR="009108FB" w:rsidRPr="009108FB" w:rsidRDefault="009108FB" w:rsidP="009108FB">
      <w:pPr>
        <w:spacing w:after="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 xml:space="preserve">Некоммерческая </w:t>
      </w:r>
      <w:proofErr w:type="spellStart"/>
      <w:r w:rsidRPr="009108FB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>микрокредитная</w:t>
      </w:r>
      <w:proofErr w:type="spellEnd"/>
      <w:r w:rsidRPr="009108FB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 xml:space="preserve"> компания Фонд поддержки малого предпринимательства Забайкальского края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Предоставление </w:t>
      </w:r>
      <w:proofErr w:type="spellStart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микрозаймов</w:t>
      </w:r>
      <w:proofErr w:type="spellEnd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на срок не </w:t>
      </w:r>
      <w:proofErr w:type="spellStart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болеетрех</w:t>
      </w:r>
      <w:proofErr w:type="spellEnd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лет и на сумму до 3 000 000 рублей, процентная ставка 10 % годовых.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lastRenderedPageBreak/>
        <w:t xml:space="preserve">Субъекты малого предпринимательства Забайкальского края –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Российской Федерации от 24 июля 2007 г. № 209-ФЗ "О развитии малого и среднего предпринимательства в Российской Федерации", к малым предприятиям, в том числе к </w:t>
      </w:r>
      <w:proofErr w:type="spellStart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микропредприятиям</w:t>
      </w:r>
      <w:proofErr w:type="spellEnd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, зарегистрированные в соответствии с действующим законодательством и осуществляющие деятельность на территории Забайкальского края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1. </w:t>
      </w:r>
      <w:proofErr w:type="spellStart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Микрозаймы</w:t>
      </w:r>
      <w:proofErr w:type="spellEnd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предоставляются субъектам малого предпринимательства: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состоящим на налоговом учете в территориальных налоговых органах Забайкальского края;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не имеющим просроченной задолженности по налоговым платежам в бюджеты бюджетной системы Российской Федерации;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не находящимся в стадии ликвидации, реорганизации или проведения процедур банкротства, предусмотренных законодательством Российской Федерации;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предусматривающих увеличение налоговой базы, повышение уровня заработной платы и (или) создание (сохранение) рабочих мест в результате получения </w:t>
      </w:r>
      <w:proofErr w:type="spellStart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микрозайма</w:t>
      </w:r>
      <w:proofErr w:type="spellEnd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;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предоставившим обеспечение исполнения обязательств по возврату 1 </w:t>
      </w:r>
      <w:proofErr w:type="spellStart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микрозайма</w:t>
      </w:r>
      <w:proofErr w:type="spellEnd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и процентов по нему.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2. </w:t>
      </w:r>
      <w:proofErr w:type="spellStart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Микрозаймы</w:t>
      </w:r>
      <w:proofErr w:type="spellEnd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не предоставляются субъектам малого предпринимательства: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-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- являющимся участниками соглашений о разделе продукции;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- осуществляющим предпринимательскую деятельность в сфере игорного бизнеса;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- являющимся в порядке, установленном действующим законодательством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lastRenderedPageBreak/>
        <w:t>- осуществляющим производство и/или реализацию подакцизных товаров в случаях: фактического осуществления данных видов экономической деятельности на дату подачи заявки; указания в качестве основного вида экономической деятельности по ОКВЭД в Выписке из ЕГРЮЛ/ЕГРИП, а также в налоговой отчетности за последний отчетный налоговый период;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- занимающимся добычей и/или реализацией полезных ископаемых, за исключением общераспространенных полезных ископаемых;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- осуществляющим производство и торговлю оружием.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Контактная информация: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Забайкальский край, г. Чита, ул. Бабушкина, д. 52, пом. 4., тел. 8-800-100-10-22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адрес электронной почты: mailbox@zabbusiness.ru</w:t>
      </w:r>
    </w:p>
    <w:p w:rsidR="009108FB" w:rsidRPr="009108FB" w:rsidRDefault="009108FB" w:rsidP="009108FB">
      <w:pPr>
        <w:spacing w:after="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 xml:space="preserve">ООО МК «Забайкальский </w:t>
      </w:r>
      <w:proofErr w:type="spellStart"/>
      <w:r w:rsidRPr="009108FB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>микрофинансовый</w:t>
      </w:r>
      <w:proofErr w:type="spellEnd"/>
      <w:r w:rsidRPr="009108FB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 xml:space="preserve"> центр»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Предоставление </w:t>
      </w:r>
      <w:proofErr w:type="spellStart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микрозаймов</w:t>
      </w:r>
      <w:proofErr w:type="spellEnd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на срок не </w:t>
      </w:r>
      <w:proofErr w:type="spellStart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болеетрех</w:t>
      </w:r>
      <w:proofErr w:type="spellEnd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лет и на сумму до 3 000 000 рублей, процентная ставка 10 % годовых.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Субъекты малого предпринимательства Забайкальского края –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Российской Федерации от 24 июля 2007 г. № 209-ФЗ "О развитии малого и среднего предпринимательства в Российской Федерации", к малым предприятиям, в том числе к </w:t>
      </w:r>
      <w:proofErr w:type="spellStart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микропредприятиям</w:t>
      </w:r>
      <w:proofErr w:type="spellEnd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, зарегистрированные в соответствии с действующим законодательством и осуществляющие деятельность на территории Забайкальского края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1. </w:t>
      </w:r>
      <w:proofErr w:type="spellStart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Микрозаймы</w:t>
      </w:r>
      <w:proofErr w:type="spellEnd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предоставляются субъектам малого предпринимательства: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состоящим на налоговом учете в территориальных налоговых органах Забайкальского края;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не имеющим просроченной задолженности по налоговым платежам в бюджеты бюджетной системы Российской Федерации;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не находящимся в стадии ликвидации, реорганизации или проведения процедур банкротства, предусмотренных законодательством Российской Федерации;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lastRenderedPageBreak/>
        <w:t xml:space="preserve">предусматривающих увеличение налоговой базы, повышение уровня заработной платы и (или) создание (сохранение) рабочих мест в результате получения </w:t>
      </w:r>
      <w:proofErr w:type="spellStart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микрозайма</w:t>
      </w:r>
      <w:proofErr w:type="spellEnd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;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предоставившим обеспечение исполнения обязательств по возврату 1 </w:t>
      </w:r>
      <w:proofErr w:type="spellStart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микрозайма</w:t>
      </w:r>
      <w:proofErr w:type="spellEnd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и процентов по нему.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2. </w:t>
      </w:r>
      <w:proofErr w:type="spellStart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Микрозаймы</w:t>
      </w:r>
      <w:proofErr w:type="spellEnd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не предоставляются субъектам малого предпринимательства: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-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- являющимся участниками соглашений о разделе продукции;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- осуществляющим предпринимательскую деятельность в сфере игорного бизнеса;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- являющимся в порядке, установленном действующим законодательством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- осуществляющим производство и/или реализацию подакцизных товаров в случаях: фактического осуществления данных видов экономической деятельности на дату подачи заявки; указания в качестве основного вида экономической деятельности по ОКВЭД в Выписке из ЕГРЮЛ/ЕГРИП, а также в налоговой отчетности за последний отчетный налоговый период;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- занимающимся добычей и/или реализацией полезных ископаемых, за исключением общераспространенных полезных ископаемых;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- осуществляющим производство и торговлю оружием.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Контактная информация: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Забайкальский край, г. Чита, ул. Бабушкина, д. 52, пом. 4., тел. 8-800-100-10-22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адрес электронной </w:t>
      </w:r>
      <w:proofErr w:type="spellStart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почты:aadondokov@zabbusiness.ru</w:t>
      </w:r>
      <w:proofErr w:type="spellEnd"/>
    </w:p>
    <w:p w:rsidR="009108FB" w:rsidRPr="009108FB" w:rsidRDefault="009108FB" w:rsidP="009108FB">
      <w:pPr>
        <w:spacing w:after="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>Общество с ограниченной ответственностью "Забайкальская лизинговая компания"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lastRenderedPageBreak/>
        <w:t>Оказание услуг по предоставлению различного оборудования и спецтехники для субъектов малого и среднего предпринимательства в лизинг, по следующим направлениям: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- оборудование для производственных предприятий, сферы торговли, услуг;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- легковой, грузовой и пассажирский автотранспорт;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- дорожно-строительная и другая специализированная техника.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Лизинг предоставляется на срок от 1 года до 5 лет, процентная ставка 16 % годовых. Первоначальный взнос составляет от 20 % до 49% от стоимости имущества, приобретаемого по договору лизинга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1. Лизинг предоставляется субъектам малого предпринимательства: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состоящим на налоговом учете в территориальных налоговых органах Забайкальского края;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не имеющим просроченной задолженности по налоговым платежам в бюджеты бюджетной системы Российской Федерации;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не находящимся в стадии ликвидации, реорганизации или проведения процедур банкротства, предусмотренных законодательством Российской Федерации;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предусматривающих увеличение налоговой базы, повышение уровня заработной платы и (или) создание (сохранение) рабочих мест в результате получения лизинга;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2. Лизинг не предоставляется субъектам малого предпринимательства: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-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- являющимся участниками соглашений о разделе продукции;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- осуществляющим предпринимательскую деятельность в сфере игорного бизнеса;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- являющимся в порядке, установленном действующим законодательством о валютном регулировании и валютном контроле, нерезидентами Российской </w:t>
      </w: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lastRenderedPageBreak/>
        <w:t>Федерации, за исключением случаев, предусмотренных международными договорами Российской Федерации;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- осуществляющим производство и/или реализацию подакцизных товаров в случаях: фактического осуществления данных видов экономической деятельности на дату подачи заявки; указания в качестве основного вида экономической деятельности по ОКВЭД в Выписке из ЕГРЮЛ/ЕГРИП, а также в налоговой отчетности за последний отчетный налоговый период;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- занимающимся добычей и/или реализацией полезных ископаемых, за исключением общераспространенных полезных ископаемых;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- осуществляющим производство и торговлю оружием.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Контактная информация:</w:t>
      </w:r>
    </w:p>
    <w:p w:rsidR="009108FB" w:rsidRPr="009108FB" w:rsidRDefault="009108FB" w:rsidP="009108FB">
      <w:pPr>
        <w:spacing w:after="270"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Забайкальский край, г. Чита, ул. Бабушкина, д. 52, пом. 4., тел. 8-800-100-10-22</w:t>
      </w:r>
    </w:p>
    <w:p w:rsidR="009108FB" w:rsidRPr="009108FB" w:rsidRDefault="009108FB" w:rsidP="009108FB">
      <w:pPr>
        <w:spacing w:line="360" w:lineRule="atLeast"/>
        <w:ind w:left="450" w:right="450"/>
        <w:jc w:val="both"/>
        <w:textAlignment w:val="top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адрес электронной </w:t>
      </w:r>
      <w:proofErr w:type="spellStart"/>
      <w:r w:rsidRPr="009108F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почты:mailbox@zabbusiness.ru</w:t>
      </w:r>
      <w:proofErr w:type="spellEnd"/>
    </w:p>
    <w:p w:rsidR="006B5038" w:rsidRDefault="006B5038"/>
    <w:sectPr w:rsidR="006B5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A30A3"/>
    <w:multiLevelType w:val="multilevel"/>
    <w:tmpl w:val="4F6E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AF"/>
    <w:rsid w:val="003D79D7"/>
    <w:rsid w:val="006B5038"/>
    <w:rsid w:val="009108FB"/>
    <w:rsid w:val="00AE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63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2020-08-24T02:32:00Z</dcterms:created>
  <dcterms:modified xsi:type="dcterms:W3CDTF">2020-08-24T02:32:00Z</dcterms:modified>
</cp:coreProperties>
</file>